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B5" w:rsidRPr="002C7F00" w:rsidRDefault="006C1C20" w:rsidP="004C29B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C1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4C29B5" w:rsidRPr="002C7F00">
        <w:rPr>
          <w:rFonts w:ascii="Times New Roman" w:eastAsia="Times New Roman" w:hAnsi="Times New Roman" w:cs="Times New Roman"/>
          <w:bCs/>
          <w:sz w:val="28"/>
          <w:szCs w:val="28"/>
        </w:rPr>
        <w:t>Приложение №_____</w:t>
      </w:r>
    </w:p>
    <w:p w:rsidR="004C29B5" w:rsidRPr="002C7F00" w:rsidRDefault="004C29B5" w:rsidP="004C29B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к приказу ГБПОУ</w:t>
      </w:r>
    </w:p>
    <w:p w:rsidR="004C29B5" w:rsidRPr="002C7F00" w:rsidRDefault="004C29B5" w:rsidP="004C29B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«КИПК </w:t>
      </w:r>
      <w:proofErr w:type="spellStart"/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>им.А.П.Маресьева</w:t>
      </w:r>
      <w:proofErr w:type="spellEnd"/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C29B5" w:rsidRPr="002C7F00" w:rsidRDefault="004C29B5" w:rsidP="004C29B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от </w:t>
      </w:r>
      <w:r w:rsidRPr="00B53A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19.04.2019</w:t>
      </w: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>г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A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132</w:t>
      </w:r>
    </w:p>
    <w:p w:rsidR="006C1C20" w:rsidRPr="006C1C20" w:rsidRDefault="006C1C20" w:rsidP="004C29B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ОБРАЗОВАНИЯ, НАУКИ И МОЛОДЕЖНОЙ ПОЛИТИКИ</w:t>
      </w:r>
    </w:p>
    <w:p w:rsidR="006C1C20" w:rsidRPr="006C1C20" w:rsidRDefault="006C1C20" w:rsidP="006C1C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ВОЛГОГРАДСКОЙ ОБЛАСТИ</w:t>
      </w:r>
    </w:p>
    <w:p w:rsidR="006C1C20" w:rsidRPr="006C1C20" w:rsidRDefault="006C1C20" w:rsidP="006C1C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6C1C20" w:rsidRPr="006C1C20" w:rsidRDefault="006C1C20" w:rsidP="006C1C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6C1C20" w:rsidRPr="006C1C20" w:rsidRDefault="006C1C20" w:rsidP="006C1C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6C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Камышинский</w:t>
      </w:r>
      <w:proofErr w:type="spellEnd"/>
      <w:r w:rsidRPr="006C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индустриально-педагогический колледж </w:t>
      </w:r>
    </w:p>
    <w:p w:rsidR="006C1C20" w:rsidRPr="006C1C20" w:rsidRDefault="006C1C20" w:rsidP="006C1C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Героя Советского Союза А.П. Маресьева» </w:t>
      </w:r>
    </w:p>
    <w:p w:rsidR="006C1C20" w:rsidRPr="006C1C20" w:rsidRDefault="006C1C20" w:rsidP="006C1C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(ГБПОУ «КИПК им. А.П. Маресьева»)</w:t>
      </w:r>
    </w:p>
    <w:p w:rsidR="006C1C20" w:rsidRPr="006C1C20" w:rsidRDefault="006C1C20" w:rsidP="006C1C2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56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1C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КУРСОВОГО ОБУЧЕНИЯ </w:t>
      </w:r>
      <w:r w:rsidRPr="006C1C2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ДОЛЖНОСТНЫХ ЛИЦ И РАБОТНИКОВ ГРАЖДАНСКОЙ ОБОРОНЫ И ЕДИНОЙ ГОСУДАРСТВЕННОЙ СИСТЕМЫ ПРЕДУПРЕЖДЕНИЯ И ЛИКВИДАЦИИ ЧРЕЗВЫЧАЙНЫХ СИТУАЦИЙ </w:t>
      </w:r>
    </w:p>
    <w:p w:rsidR="006C1C20" w:rsidRPr="006C1C20" w:rsidRDefault="006C1C20" w:rsidP="006C1C2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Камышин 2019</w:t>
      </w: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Рабочая программа разработана в соответствии </w:t>
      </w: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 </w:t>
      </w:r>
      <w:hyperlink r:id="rId5" w:history="1">
        <w:r w:rsidRPr="006C1C2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02.11.2000 N 841 "Об утверждении Положения о подготовке населения в области гражданской обороны"</w:t>
        </w:r>
      </w:hyperlink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обороны, чрезвычайным ситуациям и ликвидации последствий стихийных бедствий от 22.02.2017 N 2-4-71-8-14, в целях обучения рабочего и не работающего населения в области гражданской обороны, защиты от чрезвычайных ситуаций, обеспечения пожарной безопасности.</w:t>
      </w:r>
    </w:p>
    <w:p w:rsidR="006C1C20" w:rsidRPr="006C1C20" w:rsidRDefault="006C1C20" w:rsidP="006C1C20">
      <w:pPr>
        <w:shd w:val="clear" w:color="auto" w:fill="FFFFFF"/>
        <w:spacing w:after="200" w:line="276" w:lineRule="auto"/>
        <w:ind w:firstLine="709"/>
        <w:jc w:val="both"/>
        <w:rPr>
          <w:rFonts w:ascii="Calibri" w:eastAsia="Times New Roman" w:hAnsi="Calibri" w:cs="Times New Roman"/>
          <w:color w:val="1D1B11"/>
          <w:sz w:val="28"/>
          <w:szCs w:val="28"/>
          <w:lang w:eastAsia="ru-RU"/>
        </w:rPr>
      </w:pPr>
    </w:p>
    <w:p w:rsidR="006C1C20" w:rsidRPr="006C1C20" w:rsidRDefault="006C1C20" w:rsidP="006C1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firstLine="708"/>
        <w:jc w:val="both"/>
        <w:rPr>
          <w:rFonts w:ascii="Calibri" w:eastAsia="Times New Roman" w:hAnsi="Calibri" w:cs="Times New Roman"/>
          <w:bCs/>
          <w:color w:val="1D1B11"/>
          <w:sz w:val="28"/>
          <w:szCs w:val="28"/>
          <w:lang w:eastAsia="ru-RU"/>
        </w:rPr>
      </w:pPr>
    </w:p>
    <w:p w:rsidR="006C1C20" w:rsidRPr="006C1C20" w:rsidRDefault="006C1C20" w:rsidP="006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firstLine="708"/>
        <w:jc w:val="both"/>
        <w:rPr>
          <w:rFonts w:ascii="Calibri" w:eastAsia="Times New Roman" w:hAnsi="Calibri" w:cs="Times New Roman"/>
          <w:color w:val="1D1B11"/>
          <w:sz w:val="28"/>
          <w:szCs w:val="28"/>
          <w:vertAlign w:val="superscript"/>
          <w:lang w:eastAsia="ru-RU"/>
        </w:rPr>
      </w:pPr>
    </w:p>
    <w:p w:rsidR="006C1C20" w:rsidRPr="006C1C20" w:rsidRDefault="006C1C20" w:rsidP="006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Организация-разработчик:  государственное бюджетное профессиональное образовательное учреждение «</w:t>
      </w:r>
      <w:proofErr w:type="spellStart"/>
      <w:r w:rsidRPr="006C1C2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Камышинский</w:t>
      </w:r>
      <w:proofErr w:type="spellEnd"/>
      <w:r w:rsidRPr="006C1C2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индустриально-педагогический колледж имени Героя Советского Союза А.П.Маресьева».</w:t>
      </w:r>
    </w:p>
    <w:p w:rsidR="006C1C20" w:rsidRPr="006C1C20" w:rsidRDefault="006C1C20" w:rsidP="006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C1C20" w:rsidRPr="006C1C20" w:rsidRDefault="006C1C20" w:rsidP="006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Разработчики:</w:t>
      </w:r>
    </w:p>
    <w:p w:rsidR="006C1C20" w:rsidRPr="006C1C20" w:rsidRDefault="006C1C20" w:rsidP="006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C1C20" w:rsidRPr="006C1C20" w:rsidRDefault="006C1C20" w:rsidP="006C1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Козлов Е.А., преподаватель ГБПОУ «КИПК им. А.П.Маресьева»</w:t>
      </w:r>
    </w:p>
    <w:p w:rsidR="006C1C20" w:rsidRPr="006C1C20" w:rsidRDefault="006C1C20" w:rsidP="006C1C20">
      <w:pPr>
        <w:widowControl w:val="0"/>
        <w:tabs>
          <w:tab w:val="left" w:pos="0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perscript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pacing w:after="20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Во исполнение </w:t>
      </w:r>
      <w:hyperlink r:id="rId6" w:history="1">
        <w:r w:rsidRPr="006C1C2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Российской Федерации от 02.11.2000 N 841 "Об утверждении Положения о подготовке населения в области гражданской обороны"</w:t>
        </w:r>
      </w:hyperlink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обороны, чрезвычайным ситуациям и ликвидации последствий стихийных бедствий от 22.02.2017 N 2-4-71-8-14, в целях обучения рабочего и не работающего населения в области гражданской обороны, защиты от чрезвычайных ситуаций, обеспечения пожарной безопасности и безопасности людей на водных объектах приказываю:</w:t>
      </w:r>
    </w:p>
    <w:p w:rsidR="006C1C20" w:rsidRPr="006C1C20" w:rsidRDefault="006C1C20" w:rsidP="006C1C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Утвердить:</w:t>
      </w: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членов комиссий по предупреждению и ликвидации чрезвычайных ситуаций и обеспечению пожарной безопасности согласно приложению № 1;</w:t>
      </w: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руководителей эвакуационных органов согласно приложению №2;</w:t>
      </w: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председателей комиссий (членов комиссий)  по обеспечению устойчивости и функционированию организаций согласно приложению  № 3;</w:t>
      </w:r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не освобожденных работников, уполномоченных на решение задач в области гражданской обороны и защиты населения и территорий от чрезвычайных ситуаций согласно приложению № 4;</w:t>
      </w:r>
    </w:p>
    <w:p w:rsidR="006C1C20" w:rsidRPr="006C1C20" w:rsidRDefault="006C1C20" w:rsidP="006C1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работников осуществляющих обучение в области ГО и защиты от ЧС (лиц, назначенных для проведения инструктажа и курсового обучения работающего населения по гражданской обороне и защите от чрезвычайных ситуаций в организациях; начальники, инструкторы, (консультанты) УКП ГОЧС согласно приложению № 6.</w:t>
      </w:r>
      <w:proofErr w:type="gramEnd"/>
    </w:p>
    <w:p w:rsidR="006C1C20" w:rsidRP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специалистов и руководителей структурных  подразделений специально уполномоченных решать задачи гражданской обороны и задачи по предупреждению и ликвидации  чрезвычайных ситуаций.  Руководителей и специалистов дежурно-диспетчерских служб организаций (объектов).</w:t>
      </w:r>
    </w:p>
    <w:p w:rsidR="006C1C20" w:rsidRPr="006C1C20" w:rsidRDefault="006C1C20" w:rsidP="006C1C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Учебному отделу колледжа разместить настоящий приказ в сети</w:t>
      </w:r>
    </w:p>
    <w:p w:rsidR="006C1C20" w:rsidRPr="006C1C20" w:rsidRDefault="006C1C20" w:rsidP="006C1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Интернет.</w:t>
      </w:r>
    </w:p>
    <w:p w:rsidR="006C1C20" w:rsidRPr="006C1C20" w:rsidRDefault="006C1C20" w:rsidP="006C1C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 исполнением настоящего приказа возложить на</w:t>
      </w:r>
    </w:p>
    <w:p w:rsidR="006C1C20" w:rsidRPr="006C1C20" w:rsidRDefault="006C1C20" w:rsidP="006C1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заместителя директора колледжа  Н.Г.Зозулину.</w:t>
      </w: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C1C20" w:rsidRPr="006C1C20" w:rsidRDefault="006C1C20" w:rsidP="006C1C20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ind w:left="92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6C1C20" w:rsidRDefault="006C1C20" w:rsidP="006C1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ГБПОУ</w:t>
      </w:r>
    </w:p>
    <w:p w:rsidR="006C1C20" w:rsidRPr="006C1C20" w:rsidRDefault="006C1C20" w:rsidP="006C1C20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«КИПК им. А.П. Маресьева», к.п.н.                                         Н.В.Пояркова</w:t>
      </w:r>
    </w:p>
    <w:p w:rsidR="006C1C20" w:rsidRPr="006C1C20" w:rsidRDefault="006C1C20" w:rsidP="006C1C20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1C20" w:rsidRPr="009968E4" w:rsidRDefault="006C1C20" w:rsidP="006C1C2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lastRenderedPageBreak/>
        <w:t>ПРОГРАММА КУРСОВОГО ОБУЧЕНИЯ РУКОВОДИТЕЛЕЙ ЭВАКУАЦИОННЫХ ОРГАНОВ</w:t>
      </w:r>
    </w:p>
    <w:p w:rsidR="006C1C20" w:rsidRPr="009968E4" w:rsidRDefault="006C1C20" w:rsidP="006C1C2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1. Общие положения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Программа курсового обучения руководителей эвакуационных органов (далее - руководители СЭП):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определяет организацию и порядок осуществления курсового обучения руководителей СЭП;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устанавливает требования к уровню знаний и умений руководителей СЭП, прошедших курсовое обучение;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конкретизирует перечень тем занятий, их содержание и количество часов на освоение данной программы курсового обучения руководителей СЭП.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Целью курсового обучения является привитие руководителям СЭП знаний и умений по организации и выполнению мероприятий гражданской обороны (далее - ГО) и защиты от чрезвычайных ситуаций (далее - ЧС), а также выработка у них готовности и способности к использованию полученных знаний в интересах защиты населения, территорий,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 (далее - военных конфликтах и ЧС).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Основными задачами курсового обучения руководителей СЭП являются: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уяснение предназначения органов управления и составляющих сил ГО и единой государственной системы предупреждения и ликвидации чрезвычайных ситуаций (далее - РСЧС), решаемых ими задач, а также своих должностных обязанностей в области защиты от опасностей, возникающих при военных конфликтах и ЧС;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систематизация сведений по возможным опасностям, возникающих при военных конфликтах и ЧС, характерных для города  или организаций, находящихся в нем;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овладение знаниями и умениями по минимизации влияния на население и территории опасностей, возникающих при военных конфликтах и ЧС, присущих городу  или организаций, находящихся в нем, а также их совершенствование;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отработка приемов и способов выполнения функциональных обязанностей по предназначению;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осознание слушателями важности своей деятельности, а также необходимости объединения усилий органов управления и сил ГО и РСЧС для более эффективного выполнения задач по защите населения,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территорий, материальных и культурных ценностей.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достижения поставленной цели и задач при курсовом обучении руководителей СЭП должны быть реализованы следующие принципы обучения: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Принцип сознательности, обеспечивающий высокую мотивацию обучаемых к получению и совершенствованию знаний и умений, глубокое понимание важности возложенных на них задач и высокого уровня ответственности.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Принцип активности, предполагающий активное усвоение обучаемыми изучаемого материала, активизацию их мыслительной деятельности и способности к самостоятельной работе.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Принцип наглядности и максимального приближения обучения к реальным условиям выполнения функциональных обязанностей.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 Принцип систематичности, проявляющийся в организации и последовательной подаче материала (от простого к сложному).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 Принцип доступности и посильности, реализующийся в делении материала на этапы и в подаче его небольшими дозами, соответственно особенностям слушателей.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 Принцип учета возрастных особенностей слушателей, обуславливающий такие особенности подготовки, как: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постановка конкретных промежуточных целей обучения на основе предварительной оценки потребностей обучаемых (ориентация на формирование конкретных знаний и умений);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активизация жизненного опыта слушателей, как важного источника знаний и мотивации к обучению;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ориентация процесса обучения на решение актуальных практических проблем, достижение конкретных результатов "здесь и сейчас", освоение новых методов, применимых в различных ситуациях;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поиск приемлемого результата, а не правильного ответа (необходимо учить искать большое количество разнообразных вариантов решения задачи и проводить экспертизу принятого решения).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Принцип прочности знаний, обеспечивающийся применением разнообразных форм, методов и средств обучения, а также периодичностью подготовки.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 Принцип научности, предполагающий тщательный отбор информации, составляющей содержание обучения (обучаемые должны предлагаться только прочно устоявшиеся и научно обоснованные знания).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обучении руководителей СЭП комплексно используются теоретические и практические формы обучения: лекция, семинар, групповое занятие.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Теоретический материал изучается в ходе проведения лекций, семинаров и групповых занятий в минимальном объеме, необходимом для правильного и четкого выполнения практических приемов и действий.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этом используются информационно-коммуникационные технологии, технические средства обучения, наглядные пособия, макеты, имитационные средства и образцы.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Лекция - устное систематическое и последовательное изложение материала по какой-либо проблеме, методу, теме вопроса и т.д.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Семинар - вид теоретических занятий по какой-либо учебной проблеме, обсуждение участниками заранее подготовленных сообщений, докладов и т.п. под руководством преподавателя.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Преподаватель является координатором обсуждений темы семинара, подготовка к которому является обязательной.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Поэтому тема семинара и основные ее положения предъявляются до обсуждения для детального ознакомления, изучения.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Цели обсуждений направлены на закрепление обсуждаемого материала.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Групповое занятие - вид теоретических занятий с элементами практических действий по организации выполнения мероприятий ГО, защиты от ЧС и выполнению своих функциональных обязанностей.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ходе группового занятия все обучаемые обучаются по единому замыслу правильному и однообразному вы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полнению действий (приемов).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групповом занятии элементы практических действий, обучаемые могут отрабатывать последовательно согласно вводных, поставленных руководителем занятия.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6C1C20" w:rsidRPr="009968E4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Программа курсового обучения руководителей СЭП определяет общие положения,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организацию и порядок обучения.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ней также изложены тематика, содержание тем и требования к уровню знаний и умений руководителей СЭП, прошедших обучение.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Pr="009A5B65" w:rsidRDefault="006C1C20" w:rsidP="006C1C2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A5B6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2. Организация курсового обучения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Курсовое обучение руководителей СЭП организуется в соответствии с требованиями постановлений Правительства Российской Федерации "О подготовке населения в области защиты от чрезвычайных ситуаций природного и техногенного характера" и "Об утверждении положения об организации подготовки населения в области гражданской обороны",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утвержденных Министерством Российской Федерации по делам гражданской обороны, чрезвычайным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ситуациям и ликвидации последствий стихийных бедствий от 22.02.2017 N 2-4-71-8-14.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Курсовое обучение руководителей СЭП проводится с периодичност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ью не реже одного раза в 5 лет.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работников, впервые назначенных для исполнения обязанностей в области ГО и защиты от ЧС, курсовое обучение осуществляется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течение первого года работы.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Учебная группа для проведения курсового обучения комплектуется из лиц одной или схожих по своим функциональным обязанностям категорий обучаемых чи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сленностью не более 25 человек.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проведения занятий по специальным темам допускается учеб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ную группу делить на подгруппы.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Продолжительность курсового обучения руководителей СЭП определяется данной программ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ой и составляет 16 часов.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Курсовое обучение осуществляется по очной форме с применением технических средств обучения и других технологий.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организации занятий по курсовому обучению руководитель занятия должен предусматривать максимальное использование учебного оборудования и средств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обеспечения учебного процесса.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ходе проведения занятий должно уделяться внимание морально-психологической подготовке обучаемых, выработке личной ответственности и уверенности за принимаемые решения, воспитанию готовности к выполнению должностных обя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занностей в сложной обстановке,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обусловленной возможными опасностями.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Руководитель занятия должен обеспечивать безопасность процесса обучения за счет четкой его организации и точного соблюдения требований и мер безопасности, а также применения знаний и навыков обучаемых, полученных в ходе различных инструктажей и занятий по вопросам безопасности.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Руководитель занятий обязан принимать меры по предотвращению травматизма обучаемых, устанавливать необходимые требования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безопасности при обращении с техникой, оборудованием, средствами индивидуальной защиты и различными приборами, своевременно доводить эти требования и добиваться строгого их выполнения.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Перед началом каждого практического занятия руководитель обязан лично убедиться, что созданы все необходимые условия для безопасного его проведения, а обучаемые обладают достаточными практическими навыками для выполнения учебных задач. Слушатели, не усвоившие требования безопасно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сти, к занятиям не допускаются. 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Преподаватель, проводящий занятия по курсовому обучению, должен вести учет проведения занятий и присутствия на них обучаемых в журналах по установленной форме, определенной в Рекомендациях по организации и проведению курсового обучения в области ГО и защиты от ЧС.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Курсовое обучение руководителей СЭП завершается сдачей зачета.</w:t>
      </w:r>
    </w:p>
    <w:p w:rsidR="006C1C20" w:rsidRPr="009968E4" w:rsidRDefault="006C1C20" w:rsidP="006C1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окончании курсового обучения, каждому слушателю выдается свидетельство о прохождении курсового обучения в области ГО и защиты от ЧС.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Pr="009A5B65" w:rsidRDefault="006C1C20" w:rsidP="006C1C2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A5B6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lastRenderedPageBreak/>
        <w:t>3. Планируемые результаты обучения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Исходя из требований к уровню знаний и умений, необходимых для выполнения обязанностей по ГО и защите от ЧС, руководители СЭП в результате прохождения курсового обучения должны: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722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знать: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требования нормативных правовых документов по организации и проведению эвакуации населения, материальных и культурных ценностей;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порядок и организацию проведения мероприятий по эвакуации соответствующего уровня;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задачи, стоящие перед соответствующим эвакуационным органом, и порядок их выполнения;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78722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уметь: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анализировать, оценивать обстановку, готовить предложения и принимать решения по вопросам эвакуации;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организовывать разработку планирующих и отчетных документов по организации и проведению эвакуации;</w:t>
      </w:r>
    </w:p>
    <w:p w:rsidR="006C1C20" w:rsidRPr="009968E4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руководить действиями соответствующего эвакуационного органа при подготовке и в ходе выполнения эвакуационных мероприятий.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Pr="009A5B65" w:rsidRDefault="006C1C20" w:rsidP="006C1C2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A5B6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4. Распределение учебного времени по темам и видам учебных занятий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3223"/>
        <w:gridCol w:w="1324"/>
        <w:gridCol w:w="1177"/>
        <w:gridCol w:w="1351"/>
        <w:gridCol w:w="1577"/>
      </w:tblGrid>
      <w:tr w:rsidR="006C1C20" w:rsidRPr="009968E4" w:rsidTr="00DB0EA6">
        <w:trPr>
          <w:trHeight w:val="15"/>
        </w:trPr>
        <w:tc>
          <w:tcPr>
            <w:tcW w:w="703" w:type="dxa"/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C20" w:rsidRPr="009968E4" w:rsidTr="00DB0EA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Номера и наименование тем занятий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Всего часов учебных занятий</w:t>
            </w:r>
          </w:p>
        </w:tc>
        <w:tc>
          <w:tcPr>
            <w:tcW w:w="4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Из них по видам учебных занятий</w:t>
            </w:r>
          </w:p>
        </w:tc>
      </w:tr>
      <w:tr w:rsidR="006C1C20" w:rsidRPr="009968E4" w:rsidTr="00DB0EA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Лекция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Семинар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Групповое занятие</w:t>
            </w:r>
          </w:p>
        </w:tc>
      </w:tr>
      <w:tr w:rsidR="006C1C20" w:rsidRPr="009968E4" w:rsidTr="00DB0EA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Тема 1. Требования нормативных правовых актов по организации и проведению эвакуации населения, материальных и культурных ценностей.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C20" w:rsidRPr="009968E4" w:rsidTr="00DB0EA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Тема 2. Порядок разработки планирующих и отчетных документов по организации и </w:t>
            </w: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проведению эвакуации.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</w:tr>
      <w:tr w:rsidR="006C1C20" w:rsidRPr="009968E4" w:rsidTr="00DB0EA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Тема 3. Организация защиты населения, материальных и культурных ценностей путем эвакуации.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C20" w:rsidRPr="009968E4" w:rsidTr="00DB0EA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Тема 4. Организация работы эвакуационных органов.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</w:tr>
      <w:tr w:rsidR="006C1C20" w:rsidRPr="009968E4" w:rsidTr="00DB0EA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Зачет.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</w:tr>
      <w:tr w:rsidR="006C1C20" w:rsidRPr="009968E4" w:rsidTr="00DB0EA6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Итого по курсовому обучению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16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C20" w:rsidRPr="009968E4" w:rsidRDefault="006C1C20" w:rsidP="00DB0EA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968E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5</w:t>
            </w:r>
          </w:p>
        </w:tc>
      </w:tr>
    </w:tbl>
    <w:p w:rsidR="006C1C20" w:rsidRPr="009A5B65" w:rsidRDefault="006C1C20" w:rsidP="006C1C2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A5B6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5. Содержание тем занятий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A5B6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Тема 1. Требования нормативных правовых актов по организации и проведению эвакуации населения, материальных и культурных ценностей.</w:t>
      </w:r>
      <w:r w:rsidRPr="009A5B6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Требования постановления Правительства Российской Федерации "О порядке эвакуации населения, материальных и культурных ценностей в безопасные районы" и других нормативных правовых документов федерального, регионального, муниципального и объектового уровней в этой сфере.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Задачи руководителей эвакуационных органов по организации и осуществлению данных требований.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A5B6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Тема 2. Порядок разработки планирующих и отчетных документов по организации и проведению эвакуации.</w:t>
      </w:r>
      <w:r w:rsidRPr="009A5B6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Порядок разработки, согласования и доведения до исполнителей планирующих и отчетных документов по организации и проведению эвакуации.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Изучение и обсуждение вариантов данных документов.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A5B6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Тема 3. Организация защиты населения, материальных и культурных ценностей путем эвакуации.</w:t>
      </w:r>
      <w:r w:rsidRPr="009A5B6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Организация эвакуации населения. Планирование </w:t>
      </w:r>
      <w:proofErr w:type="spellStart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эвакомероприятий</w:t>
      </w:r>
      <w:proofErr w:type="spellEnd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Эвакуационные органы, их задачи, состав и порядок создания.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Организация и поддержание взаимодействия </w:t>
      </w:r>
      <w:proofErr w:type="spellStart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эвакоорганов</w:t>
      </w:r>
      <w:proofErr w:type="spellEnd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Обеспечение </w:t>
      </w:r>
      <w:proofErr w:type="spellStart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эвакомероприятий</w:t>
      </w:r>
      <w:proofErr w:type="spellEnd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: транспортное, медицинское, охраны общественного порядка, связи и оповещения, организация питания и обогрева. Особенности организации и проведения </w:t>
      </w:r>
      <w:proofErr w:type="spellStart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эвакомероприятий</w:t>
      </w:r>
      <w:proofErr w:type="spellEnd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ЧС природного и техногенного характера.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Способы подготовки и упаковки материальных ценностей для эвакуации. Необходимые сопровождающие документы.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Способы и особенности погрузки, укладки, крепления, перевозки и выгрузки культурных ценностей.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Порядок осуществления охраны перевозимого груза.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Особенности перевозки материальных и культурных ценностей в условиях зараженной местности. Места эвакуации и временного хранения материальных и культурных ценностей, а также важнейших фондов культурных ценностей.</w:t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9A5B6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Тема 4. Организация работы эвакуационных органов.</w:t>
      </w:r>
      <w:r w:rsidRPr="009A5B6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Задачи, обязанности и порядок действий руководителей и членов эвакуационных органов при планировании, подготовке и проведении эвакуации населения, материальных и культурных ценностей в условиях ЧС и военных конфликтов.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Планирование работы эвакуационных органов (текущее и перспективное).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Перечень разрабатываемых документов и их содержание.</w:t>
      </w:r>
    </w:p>
    <w:p w:rsidR="006C1C20" w:rsidRDefault="006C1C20" w:rsidP="006C1C2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Основные направления деятельности </w:t>
      </w:r>
      <w:proofErr w:type="spellStart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эвакоорганов</w:t>
      </w:r>
      <w:proofErr w:type="spellEnd"/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повышению эффективности проведения эвакуации.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968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56BB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6. Учебно-материальная база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  <w:t>6.1. Учебные объекты</w:t>
      </w:r>
      <w:r w:rsidRPr="005956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Специализированный учебный класс по ГОЧС.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6.2. Средства обеспечения учебного процесса.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6.2.1. Вербальные средства обучения.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Нормативные правовые и методические документы:</w:t>
      </w:r>
    </w:p>
    <w:p w:rsidR="006C1C20" w:rsidRDefault="003C0D1D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hyperlink r:id="rId7" w:history="1"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Конституция Российской Федерации</w:t>
        </w:r>
      </w:hyperlink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с комментариями;</w:t>
      </w:r>
    </w:p>
    <w:p w:rsidR="006C1C20" w:rsidRDefault="003C0D1D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hyperlink r:id="rId8" w:history="1"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"Об обороне"</w:t>
        </w:r>
      </w:hyperlink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3C0D1D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hyperlink r:id="rId9" w:history="1"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"О гражданской обороне"</w:t>
        </w:r>
      </w:hyperlink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3C0D1D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hyperlink r:id="rId10" w:history="1"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"О защите населения и территорий от чрезвычайных ситуаций природного и техногенного характера"</w:t>
        </w:r>
      </w:hyperlink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3C0D1D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hyperlink r:id="rId11" w:history="1"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"Об аварийно-спасательных службах и статусе спасателей"</w:t>
        </w:r>
      </w:hyperlink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3C0D1D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hyperlink r:id="rId12" w:history="1"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"О радиационной безопасности населения"</w:t>
        </w:r>
      </w:hyperlink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3" w:history="1"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"О пожарной безопасности"</w:t>
        </w:r>
      </w:hyperlink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3C0D1D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hyperlink r:id="rId14" w:history="1"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"О безопасности дорожного движения"</w:t>
        </w:r>
      </w:hyperlink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3C0D1D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hyperlink r:id="rId15" w:history="1">
        <w:r w:rsidR="006C1C2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</w:t>
        </w:r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остановление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</w:t>
        </w:r>
      </w:hyperlink>
      <w:r w:rsidR="006C1C20"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3C0D1D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hyperlink r:id="rId16" w:history="1">
        <w:r w:rsidR="006C1C20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</w:t>
        </w:r>
        <w:r w:rsidR="006C1C20"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остановление Правительства Российской Федерации от 02.11.2000 N 841 "Об утверждении положения об организации подготовки населения в области гражданской обороны"</w:t>
        </w:r>
      </w:hyperlink>
      <w:r w:rsidR="006C1C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аучно-практические комментарии к </w:t>
      </w:r>
      <w:hyperlink r:id="rId17" w:history="1">
        <w:r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Федеральному закону "О гражданской обороне"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аучно-практические комментарии к </w:t>
      </w:r>
      <w:hyperlink r:id="rId18" w:history="1">
        <w:r w:rsidRPr="004E7DD6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Федеральному закону "О защите населения и территорий от чрезвычайных ситуаций природного и техногенного характера"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аучно-практические комментарии к Федеральному закону "Об аварийно-спасательных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службах и статусе спасателя";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объектах на 2016 - 2020 годы;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етодические рекомендации по организации первоочередного жизнеобеспечения населе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ния в чрезвычайных ситуациях;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етодические рекомендации по созданию, подготовке и оснащению нештатных аварийно-спасательных формирований;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екомендации по составу и содержанию учебно-материальной базы субъекта Российской Федерации для подготовки населения в области гражданской обороны и защ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иты от чрезвычайных ситуаций;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екомендации по организации и проведению курсового обучения в области гражданской обороны и защ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иты от чрезвычайных ситуаций;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екомендации по обеспечению связи при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проведении работ в зонах ЧС;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екомендации по оборудованию и жизнеобеспечению полевого палаточного лагеря для временного размещен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ия эвакуированных и беженцев;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оложение о дозиметрическо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и химическом контроле в ГО;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уководство по эвакуации населения в ЧС природн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и техногенного характера;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уководство по организации планирования, обеспечения и проведения эвакуац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ии населения в военное время;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уководство по действиям органов управления и сил РСЧС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 угрозе и возникновении ЧС;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рограмма курсового обучения членов комиссий по предупреждению и ликвидации ЧС и обеспечению пожарной безопасности в области ГО и защиты от ЧС природного и техногенного характера.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956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Учебная литература:</w:t>
      </w:r>
      <w:r w:rsidRPr="005956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Москва: ООО "ТЕРМИКА.РУ", 2017.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2. Организация и ведение гражданской обороны и защиты населения и территорий от чрезвычайных сит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уаций природного и техногенного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характера: Учебное пособие. Под общ. ред. Г.Н.Кириллова. - 8-е изд. - М.: Инс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титут риска и безопасности, 2017.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Настольная книга руководителя (работника) структурного подразделения по ГОЧС. Перево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щиков В.Я. и др. - М.: ИРБ, 2016.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Прогнозирование устойчивости функционирования объектов отраслей экономики в чрезвычайных ситуациях: Учебное пособие. Аверьянов В.Т. и др. под общ. ред. В.С.Артамонова. - СПб.: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Изд-во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СПбУ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ГПС МЧС России, 2015.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 Радиационная и химическая безопасность населения. Владимиров В.А., </w:t>
      </w:r>
      <w:proofErr w:type="spellStart"/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Измалков</w:t>
      </w:r>
      <w:proofErr w:type="spellEnd"/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В.И., </w:t>
      </w:r>
      <w:proofErr w:type="spellStart"/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Измалков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А.В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- М.: Деловой экспресс, 2015.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</w:t>
      </w:r>
      <w:proofErr w:type="spellStart"/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Камыш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М.И. и др. - М.: ИРБ, 2018.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7. Организация работы комиссий по предупреждению и ликвидации чрезвычайных ситуаций и обеспечению пожарной безопасности. </w:t>
      </w:r>
      <w:proofErr w:type="spellStart"/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Камыша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М.И. и др. - М.: ИРБ, 2015.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 Защита от чрезвычайных ситу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аций. - М.: Военные знания, 2017.</w:t>
      </w:r>
    </w:p>
    <w:p w:rsidR="006C1C20" w:rsidRDefault="006C1C20" w:rsidP="006C1C2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9. Основы организации оповещения и информирования органов управления по делам ГОЧС и населения о ЧС природного, техногенного и военного характера. Методическое пособие. - М., 1998.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956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2. Визуальные средства обучения</w:t>
      </w:r>
      <w:r w:rsidRPr="005956B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Плакаты: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C1C20" w:rsidRDefault="006C1C20" w:rsidP="006C1C20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Единая государственная система предупреждения и ликвидаци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</w:t>
      </w:r>
    </w:p>
    <w:p w:rsidR="006C1C20" w:rsidRDefault="006C1C20" w:rsidP="006C1C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чрезвычайных ситуаций (РСЧС).</w:t>
      </w:r>
    </w:p>
    <w:p w:rsidR="006C1C20" w:rsidRDefault="006C1C20" w:rsidP="006C1C20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Гражданска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 оборона Российской Федерации.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Виды ЧС, причины их возникновения, основные характеристики, поражающие факторы. Характерные особенности экологической и техногенной обстан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овки в регионе и на территории.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Опасности, возникающие при ведении военных действий или вследствие этих 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ействий, способы защиты от них.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Действия населения при авариях и катастрофах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Аварии на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газонефтепроводах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Аварии 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 радиационно-опасных объектах.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Аварии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химически опасных объектах.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Действия нас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еления при стихийных бедствиях.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Аварийно-спасатель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ные и другие неотложные работы.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Тушение пожаров. Приемы и спос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обы спасения людей при пожарах.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Первая пом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ощь при чрезвычайных ситуациях.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Лечебно-эвакуационное обеспечение населения в чрезвычайных ситуациях.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Pr="00AE43A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6.2.3. Технические средства обучения.</w:t>
      </w:r>
      <w:r w:rsidRPr="00AE43A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Приборы: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Рентгенометр ДП-5В.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рибор химической разведки ВПХР.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плекты измерителей дозы: ДП-24.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Индивидуальные дозиметры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 ДКП-50А.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Метеокомплект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МК-3.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 индивидуальной защиты: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Ватно-мар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левые повязки.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Противопылевые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тканевые маски.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Респира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торы типа: Р-2, РУ-60М, РПГ-67.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Самоспасатель</w:t>
      </w:r>
      <w:proofErr w:type="spellEnd"/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типа УФМС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"Шанс Е".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Самоспасатель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ШСС-Т.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spellStart"/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Самоспасатель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индивидуальный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пожарный СИП-1Т.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Портативно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дыхательное устройство ПДУ-3.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Противогазы типа: ГП-5, ГП-5М, 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П-7, ГП-7М, ПДФ-2Ш, ИП-4, ИП-5 П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отивогазовые коробки для АХОВ.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Общевойсковой защитн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ый комплект.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Защитный капюшон.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 специальной обработки: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Индивидуальны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дегазационный комплект ИДК-1.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Индивидуа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льный дегазационный пакет ИДПС.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Медици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нское имущество: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мплект "Аптечка первой помощи".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Пакет пер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евязочный индивидуальный ИПП-1.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Пакет перевязочный меди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цинский ППМ.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Сумка санитарная.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Пож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арное имущество: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Огнетушитель.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Шкаф пожарный в комплекте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Средства связи и оповещения: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ционарный телефон.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Тренажеры: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Аудио-,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идео-, проекционная аппаратура: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ПЭВМ в компл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екте.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Мультимедийный проектор.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Проводная акустическая система.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Экран проекционный.</w:t>
      </w:r>
      <w:r w:rsidRPr="004E7DD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910ADD" w:rsidRDefault="00910ADD"/>
    <w:sectPr w:rsidR="00910ADD" w:rsidSect="00FE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0EBB"/>
    <w:multiLevelType w:val="hybridMultilevel"/>
    <w:tmpl w:val="5B1CABC4"/>
    <w:lvl w:ilvl="0" w:tplc="67C21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15"/>
    <w:rsid w:val="00324F01"/>
    <w:rsid w:val="003C0D1D"/>
    <w:rsid w:val="004C29B5"/>
    <w:rsid w:val="006C1C20"/>
    <w:rsid w:val="00910ADD"/>
    <w:rsid w:val="00A55DBB"/>
    <w:rsid w:val="00B20215"/>
    <w:rsid w:val="00FE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48" TargetMode="External"/><Relationship Id="rId13" Type="http://schemas.openxmlformats.org/officeDocument/2006/relationships/hyperlink" Target="http://docs.cntd.ru/document/9028718" TargetMode="External"/><Relationship Id="rId18" Type="http://schemas.openxmlformats.org/officeDocument/2006/relationships/hyperlink" Target="http://docs.cntd.ru/document/90099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5351" TargetMode="External"/><Relationship Id="rId17" Type="http://schemas.openxmlformats.org/officeDocument/2006/relationships/hyperlink" Target="http://docs.cntd.ru/document/90170104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7478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4785" TargetMode="External"/><Relationship Id="rId11" Type="http://schemas.openxmlformats.org/officeDocument/2006/relationships/hyperlink" Target="http://docs.cntd.ru/document/9013096" TargetMode="External"/><Relationship Id="rId5" Type="http://schemas.openxmlformats.org/officeDocument/2006/relationships/hyperlink" Target="http://docs.cntd.ru/document/901774785" TargetMode="External"/><Relationship Id="rId15" Type="http://schemas.openxmlformats.org/officeDocument/2006/relationships/hyperlink" Target="http://docs.cntd.ru/document/901873584" TargetMode="Externa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hyperlink" Target="http://docs.cntd.ru/document/9014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3617</Words>
  <Characters>20619</Characters>
  <Application>Microsoft Office Word</Application>
  <DocSecurity>0</DocSecurity>
  <Lines>171</Lines>
  <Paragraphs>48</Paragraphs>
  <ScaleCrop>false</ScaleCrop>
  <Company/>
  <LinksUpToDate>false</LinksUpToDate>
  <CharactersWithSpaces>24188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Comp-4</cp:lastModifiedBy>
  <cp:revision>5</cp:revision>
  <dcterms:created xsi:type="dcterms:W3CDTF">2019-04-21T12:32:00Z</dcterms:created>
  <dcterms:modified xsi:type="dcterms:W3CDTF">2019-05-14T05:44:00Z</dcterms:modified>
</cp:coreProperties>
</file>